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2E79" w14:textId="77777777" w:rsidR="008323F2" w:rsidRPr="00056AC0" w:rsidRDefault="00CC32BA" w:rsidP="008323F2">
      <w:pPr>
        <w:spacing w:after="200"/>
        <w:rPr>
          <w:b/>
          <w:bCs/>
          <w:sz w:val="22"/>
          <w:szCs w:val="22"/>
        </w:rPr>
      </w:pPr>
      <w:sdt>
        <w:sdtPr>
          <w:rPr>
            <w:b/>
            <w:bCs/>
            <w:sz w:val="22"/>
            <w:szCs w:val="22"/>
          </w:rPr>
          <w:id w:val="-312489588"/>
          <w:placeholder>
            <w:docPart w:val="8389B5D6425D4A708E703D83C8260A46"/>
          </w:placeholder>
          <w:date w:fullDate="2024-12-06T00:00:00Z">
            <w:dateFormat w:val="dddd, d MMMM yyyy"/>
            <w:lid w:val="en-AU"/>
            <w:storeMappedDataAs w:val="dateTime"/>
            <w:calendar w:val="gregorian"/>
          </w:date>
        </w:sdtPr>
        <w:sdtEndPr/>
        <w:sdtContent>
          <w:r w:rsidR="008323F2" w:rsidRPr="00056AC0">
            <w:rPr>
              <w:b/>
              <w:bCs/>
              <w:sz w:val="22"/>
              <w:szCs w:val="22"/>
            </w:rPr>
            <w:t>Friday, 6 December 2024</w:t>
          </w:r>
        </w:sdtContent>
      </w:sdt>
    </w:p>
    <w:p w14:paraId="21A4AF07" w14:textId="77777777" w:rsidR="008323F2" w:rsidRPr="00056AC0" w:rsidRDefault="008323F2" w:rsidP="008323F2">
      <w:pPr>
        <w:jc w:val="center"/>
        <w:rPr>
          <w:rFonts w:eastAsia="MS Gothic"/>
          <w:b/>
          <w:bCs/>
          <w:color w:val="F26522"/>
          <w:kern w:val="32"/>
        </w:rPr>
      </w:pPr>
      <w:r w:rsidRPr="00056AC0">
        <w:rPr>
          <w:rFonts w:eastAsia="MS Gothic"/>
          <w:b/>
          <w:bCs/>
          <w:color w:val="F26522"/>
          <w:kern w:val="32"/>
        </w:rPr>
        <w:t xml:space="preserve">AI guidance to </w:t>
      </w:r>
      <w:r>
        <w:rPr>
          <w:rFonts w:eastAsia="MS Gothic"/>
          <w:b/>
          <w:bCs/>
          <w:color w:val="F26522"/>
          <w:kern w:val="32"/>
        </w:rPr>
        <w:t>safeguard consumers of legal services</w:t>
      </w:r>
      <w:r w:rsidRPr="00056AC0">
        <w:rPr>
          <w:rFonts w:eastAsia="MS Gothic"/>
          <w:b/>
          <w:bCs/>
          <w:color w:val="F26522"/>
          <w:kern w:val="32"/>
        </w:rPr>
        <w:t xml:space="preserve">  </w:t>
      </w:r>
    </w:p>
    <w:p w14:paraId="45DB5591" w14:textId="77777777" w:rsidR="008323F2" w:rsidRPr="00056AC0" w:rsidRDefault="008323F2" w:rsidP="008323F2">
      <w:pPr>
        <w:jc w:val="center"/>
        <w:rPr>
          <w:rFonts w:eastAsia="MS Gothic"/>
          <w:b/>
          <w:bCs/>
          <w:color w:val="F26522"/>
          <w:kern w:val="32"/>
          <w:sz w:val="22"/>
          <w:szCs w:val="22"/>
        </w:rPr>
      </w:pPr>
    </w:p>
    <w:p w14:paraId="0A6E7418" w14:textId="77777777" w:rsidR="008323F2" w:rsidRDefault="008323F2" w:rsidP="008323F2">
      <w:pPr>
        <w:jc w:val="both"/>
        <w:rPr>
          <w:b/>
          <w:bCs/>
          <w:sz w:val="22"/>
          <w:szCs w:val="22"/>
        </w:rPr>
      </w:pPr>
      <w:r w:rsidRPr="00056AC0">
        <w:rPr>
          <w:b/>
          <w:bCs/>
          <w:sz w:val="22"/>
          <w:szCs w:val="22"/>
        </w:rPr>
        <w:t xml:space="preserve">Legal profession regulators from across the three Uniform Law </w:t>
      </w:r>
      <w:r>
        <w:rPr>
          <w:b/>
          <w:bCs/>
          <w:sz w:val="22"/>
          <w:szCs w:val="22"/>
        </w:rPr>
        <w:t xml:space="preserve">states </w:t>
      </w:r>
      <w:r w:rsidRPr="00056AC0">
        <w:rPr>
          <w:b/>
          <w:bCs/>
          <w:sz w:val="22"/>
          <w:szCs w:val="22"/>
        </w:rPr>
        <w:t xml:space="preserve">have jointly issued a statement to guide lawyers in their </w:t>
      </w:r>
      <w:r>
        <w:rPr>
          <w:b/>
          <w:bCs/>
          <w:sz w:val="22"/>
          <w:szCs w:val="22"/>
        </w:rPr>
        <w:t xml:space="preserve">responsible and </w:t>
      </w:r>
      <w:r w:rsidRPr="00056AC0">
        <w:rPr>
          <w:b/>
          <w:bCs/>
          <w:sz w:val="22"/>
          <w:szCs w:val="22"/>
        </w:rPr>
        <w:t xml:space="preserve">ethical use of artificial intelligence (AI). </w:t>
      </w:r>
    </w:p>
    <w:p w14:paraId="4A687D15" w14:textId="77777777" w:rsidR="008323F2" w:rsidRPr="00056AC0" w:rsidRDefault="008323F2" w:rsidP="008323F2">
      <w:pPr>
        <w:jc w:val="both"/>
        <w:rPr>
          <w:b/>
          <w:bCs/>
          <w:sz w:val="22"/>
          <w:szCs w:val="22"/>
        </w:rPr>
      </w:pPr>
    </w:p>
    <w:p w14:paraId="25936998" w14:textId="77777777" w:rsidR="008323F2" w:rsidRPr="00056AC0" w:rsidRDefault="008323F2" w:rsidP="008323F2">
      <w:pPr>
        <w:jc w:val="both"/>
        <w:rPr>
          <w:sz w:val="22"/>
          <w:szCs w:val="22"/>
        </w:rPr>
      </w:pPr>
      <w:r w:rsidRPr="00056AC0">
        <w:rPr>
          <w:sz w:val="22"/>
          <w:szCs w:val="22"/>
        </w:rPr>
        <w:t xml:space="preserve">The Law Society of NSW, the Legal Practice Board of Western Australia, and the Victorian Legal Services Board </w:t>
      </w:r>
      <w:r>
        <w:rPr>
          <w:sz w:val="22"/>
          <w:szCs w:val="22"/>
        </w:rPr>
        <w:t>and</w:t>
      </w:r>
      <w:r w:rsidRPr="00056AC0">
        <w:rPr>
          <w:sz w:val="22"/>
          <w:szCs w:val="22"/>
        </w:rPr>
        <w:t xml:space="preserve"> Commissioner</w:t>
      </w:r>
      <w:r>
        <w:rPr>
          <w:sz w:val="22"/>
          <w:szCs w:val="22"/>
        </w:rPr>
        <w:t>,</w:t>
      </w:r>
      <w:r w:rsidRPr="00056AC0">
        <w:rPr>
          <w:sz w:val="22"/>
          <w:szCs w:val="22"/>
        </w:rPr>
        <w:t xml:space="preserve"> have </w:t>
      </w:r>
      <w:r>
        <w:rPr>
          <w:sz w:val="22"/>
          <w:szCs w:val="22"/>
        </w:rPr>
        <w:t>put forward</w:t>
      </w:r>
      <w:r w:rsidRPr="00056AC0">
        <w:rPr>
          <w:sz w:val="22"/>
          <w:szCs w:val="22"/>
        </w:rPr>
        <w:t xml:space="preserve"> a set of common principles</w:t>
      </w:r>
      <w:r>
        <w:rPr>
          <w:sz w:val="22"/>
          <w:szCs w:val="22"/>
        </w:rPr>
        <w:t>. The aim is to</w:t>
      </w:r>
      <w:r w:rsidRPr="00056AC0">
        <w:rPr>
          <w:sz w:val="22"/>
          <w:szCs w:val="22"/>
        </w:rPr>
        <w:t xml:space="preserve"> help to protect clients from risk, ensure the technology is used for their benefit</w:t>
      </w:r>
      <w:r>
        <w:rPr>
          <w:sz w:val="22"/>
          <w:szCs w:val="22"/>
        </w:rPr>
        <w:t>,</w:t>
      </w:r>
      <w:r w:rsidRPr="00056AC0">
        <w:rPr>
          <w:sz w:val="22"/>
          <w:szCs w:val="22"/>
        </w:rPr>
        <w:t xml:space="preserve"> and preserve the proper administration of justice.</w:t>
      </w:r>
    </w:p>
    <w:p w14:paraId="2346B354" w14:textId="77777777" w:rsidR="008323F2" w:rsidRDefault="008323F2" w:rsidP="008323F2">
      <w:pPr>
        <w:jc w:val="both"/>
        <w:rPr>
          <w:sz w:val="22"/>
          <w:szCs w:val="22"/>
        </w:rPr>
      </w:pPr>
    </w:p>
    <w:p w14:paraId="6A5A5F73" w14:textId="77777777" w:rsidR="008323F2" w:rsidRPr="00056AC0" w:rsidRDefault="008323F2" w:rsidP="008323F2">
      <w:pPr>
        <w:jc w:val="both"/>
        <w:rPr>
          <w:sz w:val="22"/>
          <w:szCs w:val="22"/>
        </w:rPr>
      </w:pPr>
      <w:r w:rsidRPr="00056AC0">
        <w:rPr>
          <w:sz w:val="22"/>
          <w:szCs w:val="22"/>
        </w:rPr>
        <w:t xml:space="preserve">The statement applies to solicitors in NSW and to </w:t>
      </w:r>
      <w:r>
        <w:rPr>
          <w:sz w:val="22"/>
          <w:szCs w:val="22"/>
        </w:rPr>
        <w:t xml:space="preserve">solicitors and barristers </w:t>
      </w:r>
      <w:r w:rsidRPr="00056AC0">
        <w:rPr>
          <w:sz w:val="22"/>
          <w:szCs w:val="22"/>
        </w:rPr>
        <w:t xml:space="preserve">in Victoria and </w:t>
      </w:r>
      <w:proofErr w:type="gramStart"/>
      <w:r>
        <w:rPr>
          <w:sz w:val="22"/>
          <w:szCs w:val="22"/>
        </w:rPr>
        <w:t>WA,</w:t>
      </w:r>
      <w:r w:rsidRPr="00056AC0">
        <w:rPr>
          <w:sz w:val="22"/>
          <w:szCs w:val="22"/>
        </w:rPr>
        <w:t xml:space="preserve"> and</w:t>
      </w:r>
      <w:proofErr w:type="gramEnd"/>
      <w:r w:rsidRPr="00056AC0">
        <w:rPr>
          <w:sz w:val="22"/>
          <w:szCs w:val="22"/>
        </w:rPr>
        <w:t xml:space="preserve"> is based on the ethical conduct rules and duties to which practitioners are legally bound. </w:t>
      </w:r>
    </w:p>
    <w:p w14:paraId="280CB8FD" w14:textId="77777777" w:rsidR="008323F2" w:rsidRDefault="008323F2" w:rsidP="008323F2">
      <w:pPr>
        <w:jc w:val="both"/>
        <w:rPr>
          <w:sz w:val="22"/>
          <w:szCs w:val="22"/>
        </w:rPr>
      </w:pPr>
    </w:p>
    <w:p w14:paraId="0B217F34" w14:textId="77777777" w:rsidR="008323F2" w:rsidRPr="00056AC0" w:rsidRDefault="008323F2" w:rsidP="008323F2">
      <w:pPr>
        <w:jc w:val="both"/>
        <w:rPr>
          <w:sz w:val="22"/>
          <w:szCs w:val="22"/>
        </w:rPr>
      </w:pPr>
      <w:r w:rsidRPr="00056AC0">
        <w:rPr>
          <w:sz w:val="22"/>
          <w:szCs w:val="22"/>
        </w:rPr>
        <w:t>President of the Law Society of NSW Brett McGrath said the adoption of the statement reflects the need and willingness of lawyers to adapt to changing technology to better serve their clients and the law.</w:t>
      </w:r>
    </w:p>
    <w:p w14:paraId="1F19B7B3" w14:textId="77777777" w:rsidR="008323F2" w:rsidRDefault="008323F2" w:rsidP="008323F2">
      <w:pPr>
        <w:jc w:val="both"/>
        <w:rPr>
          <w:sz w:val="22"/>
          <w:szCs w:val="22"/>
        </w:rPr>
      </w:pPr>
    </w:p>
    <w:p w14:paraId="38A8FE48" w14:textId="77777777" w:rsidR="008323F2" w:rsidRPr="00056AC0" w:rsidRDefault="008323F2" w:rsidP="008323F2">
      <w:pPr>
        <w:jc w:val="both"/>
        <w:rPr>
          <w:sz w:val="22"/>
          <w:szCs w:val="22"/>
        </w:rPr>
      </w:pPr>
      <w:r w:rsidRPr="00056AC0">
        <w:rPr>
          <w:sz w:val="22"/>
          <w:szCs w:val="22"/>
        </w:rPr>
        <w:t xml:space="preserve">“In more than 200 years of legal practice in Australia, technology has evolved from parchment and quill to digital communication, remote working and most recently, the widespread availability of AI. This statement reflects lawyers’ commitment to upholding the rule of law, protecting individual rights and freedoms and promoting access to justice,” Mr McGrath said. </w:t>
      </w:r>
    </w:p>
    <w:p w14:paraId="462FE919" w14:textId="77777777" w:rsidR="008323F2" w:rsidRDefault="008323F2" w:rsidP="008323F2">
      <w:pPr>
        <w:jc w:val="both"/>
        <w:rPr>
          <w:sz w:val="22"/>
          <w:szCs w:val="22"/>
        </w:rPr>
      </w:pPr>
    </w:p>
    <w:p w14:paraId="370E2EDD" w14:textId="77777777" w:rsidR="008323F2" w:rsidRPr="00056AC0" w:rsidRDefault="008323F2" w:rsidP="008323F2">
      <w:pPr>
        <w:jc w:val="both"/>
        <w:rPr>
          <w:sz w:val="22"/>
          <w:szCs w:val="22"/>
        </w:rPr>
      </w:pPr>
      <w:r w:rsidRPr="00056AC0">
        <w:rPr>
          <w:sz w:val="22"/>
          <w:szCs w:val="22"/>
        </w:rPr>
        <w:t>“I’m particularly pleased to be able to launch this statement, in partnership with legal profession regulators in Victoria and Western Australia, given assisting the solicitor profession with the challenges and benefits of AI is one of my President’s Priorities for my term leading the Law Society of NSW this year.”</w:t>
      </w:r>
    </w:p>
    <w:p w14:paraId="36289267" w14:textId="77777777" w:rsidR="008323F2" w:rsidRDefault="008323F2" w:rsidP="008323F2">
      <w:pPr>
        <w:jc w:val="both"/>
        <w:rPr>
          <w:sz w:val="22"/>
          <w:szCs w:val="22"/>
        </w:rPr>
      </w:pPr>
    </w:p>
    <w:p w14:paraId="4D854326" w14:textId="77777777" w:rsidR="008323F2" w:rsidRPr="00056AC0" w:rsidRDefault="008323F2" w:rsidP="008323F2">
      <w:pPr>
        <w:jc w:val="both"/>
        <w:rPr>
          <w:sz w:val="22"/>
          <w:szCs w:val="22"/>
        </w:rPr>
      </w:pPr>
      <w:r w:rsidRPr="00056AC0">
        <w:rPr>
          <w:sz w:val="22"/>
          <w:szCs w:val="22"/>
        </w:rPr>
        <w:t xml:space="preserve">Victorian Legal Services </w:t>
      </w:r>
      <w:r>
        <w:rPr>
          <w:sz w:val="22"/>
          <w:szCs w:val="22"/>
        </w:rPr>
        <w:t xml:space="preserve">Board CEO and </w:t>
      </w:r>
      <w:r w:rsidRPr="00056AC0">
        <w:rPr>
          <w:sz w:val="22"/>
          <w:szCs w:val="22"/>
        </w:rPr>
        <w:t xml:space="preserve">Commissioner Fiona McLeay said AI presents opportunities and risks not only for the profession, but </w:t>
      </w:r>
      <w:r>
        <w:rPr>
          <w:sz w:val="22"/>
          <w:szCs w:val="22"/>
        </w:rPr>
        <w:t>also for consumers of legal services</w:t>
      </w:r>
      <w:r w:rsidRPr="00056AC0">
        <w:rPr>
          <w:sz w:val="22"/>
          <w:szCs w:val="22"/>
        </w:rPr>
        <w:t xml:space="preserve">. </w:t>
      </w:r>
    </w:p>
    <w:p w14:paraId="0C6DD875" w14:textId="77777777" w:rsidR="008323F2" w:rsidRDefault="008323F2" w:rsidP="008323F2">
      <w:pPr>
        <w:jc w:val="both"/>
        <w:rPr>
          <w:sz w:val="22"/>
          <w:szCs w:val="22"/>
        </w:rPr>
      </w:pPr>
    </w:p>
    <w:p w14:paraId="6D15B733" w14:textId="77777777" w:rsidR="008323F2" w:rsidRPr="00056AC0" w:rsidDel="00885194" w:rsidRDefault="008323F2" w:rsidP="008323F2">
      <w:pPr>
        <w:spacing w:line="259" w:lineRule="auto"/>
        <w:jc w:val="both"/>
        <w:rPr>
          <w:sz w:val="22"/>
          <w:szCs w:val="22"/>
        </w:rPr>
      </w:pPr>
      <w:r w:rsidRPr="647B2A13">
        <w:rPr>
          <w:sz w:val="22"/>
          <w:szCs w:val="22"/>
        </w:rPr>
        <w:t xml:space="preserve">“Understanding the capabilities and limitations of AI tools is important for lawyers, not only because they may use it themselves, but also so they can provide trusted guidance to their clients,” Ms McLeay said. </w:t>
      </w:r>
    </w:p>
    <w:p w14:paraId="7522104B" w14:textId="77777777" w:rsidR="008323F2" w:rsidDel="00885194" w:rsidRDefault="008323F2" w:rsidP="008323F2">
      <w:pPr>
        <w:jc w:val="both"/>
        <w:rPr>
          <w:sz w:val="22"/>
          <w:szCs w:val="22"/>
        </w:rPr>
      </w:pPr>
    </w:p>
    <w:p w14:paraId="36D7F553" w14:textId="77777777" w:rsidR="008323F2" w:rsidRPr="00056AC0" w:rsidDel="00BF038A" w:rsidRDefault="008323F2" w:rsidP="008323F2">
      <w:pPr>
        <w:spacing w:line="259" w:lineRule="auto"/>
        <w:jc w:val="both"/>
        <w:rPr>
          <w:sz w:val="22"/>
          <w:szCs w:val="22"/>
        </w:rPr>
      </w:pPr>
      <w:r w:rsidRPr="647B2A13">
        <w:rPr>
          <w:sz w:val="22"/>
          <w:szCs w:val="22"/>
        </w:rPr>
        <w:t xml:space="preserve">“As the legal profession and the wider community adapt to the rapidly changing </w:t>
      </w:r>
      <w:r>
        <w:rPr>
          <w:sz w:val="22"/>
          <w:szCs w:val="22"/>
        </w:rPr>
        <w:t>digital</w:t>
      </w:r>
      <w:r w:rsidRPr="647B2A13">
        <w:rPr>
          <w:sz w:val="22"/>
          <w:szCs w:val="22"/>
        </w:rPr>
        <w:t xml:space="preserve"> landscape, consumers will need a rel</w:t>
      </w:r>
      <w:r w:rsidRPr="005418BC">
        <w:rPr>
          <w:rFonts w:eastAsiaTheme="minorEastAsia"/>
          <w:sz w:val="22"/>
          <w:szCs w:val="22"/>
        </w:rPr>
        <w:t xml:space="preserve">iable source of advice – both </w:t>
      </w:r>
      <w:r w:rsidRPr="647B2A13">
        <w:rPr>
          <w:sz w:val="22"/>
          <w:szCs w:val="22"/>
        </w:rPr>
        <w:t xml:space="preserve">on </w:t>
      </w:r>
      <w:r w:rsidRPr="005418BC">
        <w:rPr>
          <w:rFonts w:eastAsiaTheme="minorEastAsia"/>
          <w:sz w:val="22"/>
          <w:szCs w:val="22"/>
        </w:rPr>
        <w:t>how t</w:t>
      </w:r>
      <w:r w:rsidRPr="647B2A13">
        <w:rPr>
          <w:sz w:val="22"/>
          <w:szCs w:val="22"/>
        </w:rPr>
        <w:t xml:space="preserve">hey can lawfully use </w:t>
      </w:r>
      <w:proofErr w:type="gramStart"/>
      <w:r w:rsidRPr="647B2A13">
        <w:rPr>
          <w:sz w:val="22"/>
          <w:szCs w:val="22"/>
        </w:rPr>
        <w:t>AI, and</w:t>
      </w:r>
      <w:proofErr w:type="gramEnd"/>
      <w:r w:rsidRPr="647B2A13">
        <w:rPr>
          <w:sz w:val="22"/>
          <w:szCs w:val="22"/>
        </w:rPr>
        <w:t xml:space="preserve"> defend their interests if they have been adversely affected by a third party using these technologies.”</w:t>
      </w:r>
    </w:p>
    <w:p w14:paraId="15EB302C" w14:textId="77777777" w:rsidR="008323F2" w:rsidRDefault="008323F2" w:rsidP="008323F2">
      <w:pPr>
        <w:jc w:val="both"/>
        <w:rPr>
          <w:sz w:val="22"/>
          <w:szCs w:val="22"/>
        </w:rPr>
      </w:pPr>
    </w:p>
    <w:p w14:paraId="7AA3B23E" w14:textId="77777777" w:rsidR="008323F2" w:rsidRPr="00056AC0" w:rsidRDefault="008323F2" w:rsidP="008323F2">
      <w:pPr>
        <w:jc w:val="both"/>
        <w:rPr>
          <w:sz w:val="22"/>
          <w:szCs w:val="22"/>
        </w:rPr>
      </w:pPr>
      <w:r w:rsidRPr="00056AC0">
        <w:rPr>
          <w:sz w:val="22"/>
          <w:szCs w:val="22"/>
        </w:rPr>
        <w:t>Chairman of the Legal Practi</w:t>
      </w:r>
      <w:r>
        <w:rPr>
          <w:sz w:val="22"/>
          <w:szCs w:val="22"/>
        </w:rPr>
        <w:t>c</w:t>
      </w:r>
      <w:r w:rsidRPr="00056AC0">
        <w:rPr>
          <w:sz w:val="22"/>
          <w:szCs w:val="22"/>
        </w:rPr>
        <w:t xml:space="preserve">e Board of Western Australia Matthew Howard SC said the joint statement clarifies the expectations legal profession regulators have of lawyers when they use AI tools in their legal work. </w:t>
      </w:r>
    </w:p>
    <w:p w14:paraId="74F9DF71" w14:textId="77777777" w:rsidR="008323F2" w:rsidRDefault="008323F2" w:rsidP="008323F2">
      <w:pPr>
        <w:jc w:val="both"/>
        <w:rPr>
          <w:sz w:val="22"/>
          <w:szCs w:val="22"/>
        </w:rPr>
      </w:pPr>
    </w:p>
    <w:p w14:paraId="30FDFA0C" w14:textId="77777777" w:rsidR="008323F2" w:rsidRPr="00056AC0" w:rsidRDefault="008323F2" w:rsidP="008323F2">
      <w:pPr>
        <w:jc w:val="both"/>
        <w:rPr>
          <w:sz w:val="22"/>
          <w:szCs w:val="22"/>
        </w:rPr>
      </w:pPr>
      <w:r w:rsidRPr="00056AC0">
        <w:rPr>
          <w:sz w:val="22"/>
          <w:szCs w:val="22"/>
        </w:rPr>
        <w:t xml:space="preserve">“The ethical standards and professional obligations of lawyers, as set out in the </w:t>
      </w:r>
      <w:r w:rsidRPr="00056AC0">
        <w:rPr>
          <w:i/>
          <w:iCs/>
          <w:sz w:val="22"/>
          <w:szCs w:val="22"/>
        </w:rPr>
        <w:t xml:space="preserve">Legal Profession Uniform Law </w:t>
      </w:r>
      <w:r w:rsidRPr="00056AC0">
        <w:rPr>
          <w:sz w:val="22"/>
          <w:szCs w:val="22"/>
        </w:rPr>
        <w:t xml:space="preserve">and conduct rules, apply equally to the use of AI as to any aspect of a practitioner’s work. They must continue to maintain these high standards when using AI or any other legal technology,” Mr Howard said. </w:t>
      </w:r>
    </w:p>
    <w:p w14:paraId="1A6E6BEA" w14:textId="77777777" w:rsidR="008323F2" w:rsidRDefault="008323F2" w:rsidP="008323F2">
      <w:pPr>
        <w:jc w:val="both"/>
        <w:rPr>
          <w:sz w:val="22"/>
          <w:szCs w:val="22"/>
        </w:rPr>
      </w:pPr>
    </w:p>
    <w:p w14:paraId="192EA369" w14:textId="77777777" w:rsidR="008323F2" w:rsidRPr="00056AC0" w:rsidRDefault="008323F2" w:rsidP="008323F2">
      <w:pPr>
        <w:jc w:val="both"/>
        <w:rPr>
          <w:sz w:val="22"/>
          <w:szCs w:val="22"/>
        </w:rPr>
      </w:pPr>
      <w:r w:rsidRPr="00056AC0">
        <w:rPr>
          <w:sz w:val="22"/>
          <w:szCs w:val="22"/>
        </w:rPr>
        <w:lastRenderedPageBreak/>
        <w:t>“As AI continues to evolve, regulators in the Uniform Law jurisdictions have committed to regularly review and update our guidance on AI for lawyers.”</w:t>
      </w:r>
    </w:p>
    <w:p w14:paraId="2D3FBDD9" w14:textId="77777777" w:rsidR="008323F2" w:rsidRDefault="008323F2" w:rsidP="008323F2">
      <w:pPr>
        <w:jc w:val="both"/>
        <w:rPr>
          <w:bCs/>
          <w:sz w:val="22"/>
          <w:szCs w:val="22"/>
        </w:rPr>
      </w:pPr>
      <w:bookmarkStart w:id="0" w:name="_Hlk182834927"/>
    </w:p>
    <w:p w14:paraId="01630B59" w14:textId="77777777" w:rsidR="008323F2" w:rsidRDefault="008323F2" w:rsidP="008323F2">
      <w:pPr>
        <w:jc w:val="both"/>
        <w:rPr>
          <w:bCs/>
          <w:sz w:val="22"/>
          <w:szCs w:val="22"/>
        </w:rPr>
      </w:pPr>
      <w:r w:rsidRPr="00056AC0">
        <w:rPr>
          <w:bCs/>
          <w:sz w:val="22"/>
          <w:szCs w:val="22"/>
        </w:rPr>
        <w:t xml:space="preserve">The </w:t>
      </w:r>
      <w:r w:rsidRPr="00056AC0">
        <w:rPr>
          <w:bCs/>
          <w:i/>
          <w:iCs/>
          <w:sz w:val="22"/>
          <w:szCs w:val="22"/>
        </w:rPr>
        <w:t>Statement on the use of artificial intelligence in Australian legal practice</w:t>
      </w:r>
      <w:r w:rsidRPr="00056AC0">
        <w:rPr>
          <w:bCs/>
          <w:sz w:val="22"/>
          <w:szCs w:val="22"/>
        </w:rPr>
        <w:t xml:space="preserve"> applies to the use of AI tools, </w:t>
      </w:r>
      <w:r>
        <w:rPr>
          <w:bCs/>
          <w:sz w:val="22"/>
          <w:szCs w:val="22"/>
        </w:rPr>
        <w:t xml:space="preserve">and </w:t>
      </w:r>
      <w:r w:rsidRPr="00056AC0">
        <w:rPr>
          <w:bCs/>
          <w:sz w:val="22"/>
          <w:szCs w:val="22"/>
        </w:rPr>
        <w:t>lawyers’ existing ethical obligations to:</w:t>
      </w:r>
    </w:p>
    <w:p w14:paraId="4FB6FCD2" w14:textId="77777777" w:rsidR="008323F2" w:rsidRPr="00056AC0" w:rsidRDefault="008323F2" w:rsidP="008323F2">
      <w:pPr>
        <w:jc w:val="both"/>
        <w:rPr>
          <w:bCs/>
          <w:sz w:val="22"/>
          <w:szCs w:val="22"/>
        </w:rPr>
      </w:pPr>
    </w:p>
    <w:p w14:paraId="3A0DD391" w14:textId="77777777" w:rsidR="008323F2" w:rsidRPr="00056AC0" w:rsidRDefault="008323F2" w:rsidP="008323F2">
      <w:pPr>
        <w:pStyle w:val="ListParagraph"/>
        <w:numPr>
          <w:ilvl w:val="0"/>
          <w:numId w:val="1"/>
        </w:numPr>
        <w:spacing w:line="276" w:lineRule="auto"/>
        <w:contextualSpacing w:val="0"/>
        <w:jc w:val="both"/>
        <w:rPr>
          <w:bCs/>
          <w:sz w:val="22"/>
          <w:szCs w:val="22"/>
        </w:rPr>
      </w:pPr>
      <w:r w:rsidRPr="00056AC0">
        <w:rPr>
          <w:bCs/>
          <w:sz w:val="22"/>
          <w:szCs w:val="22"/>
        </w:rPr>
        <w:t xml:space="preserve">Maintain client </w:t>
      </w:r>
      <w:proofErr w:type="gramStart"/>
      <w:r w:rsidRPr="00056AC0">
        <w:rPr>
          <w:bCs/>
          <w:sz w:val="22"/>
          <w:szCs w:val="22"/>
        </w:rPr>
        <w:t>confidentiality;</w:t>
      </w:r>
      <w:proofErr w:type="gramEnd"/>
    </w:p>
    <w:p w14:paraId="3F7A275C" w14:textId="77777777" w:rsidR="008323F2" w:rsidRPr="00056AC0" w:rsidRDefault="008323F2" w:rsidP="008323F2">
      <w:pPr>
        <w:pStyle w:val="ListParagraph"/>
        <w:numPr>
          <w:ilvl w:val="0"/>
          <w:numId w:val="1"/>
        </w:numPr>
        <w:spacing w:line="276" w:lineRule="auto"/>
        <w:contextualSpacing w:val="0"/>
        <w:jc w:val="both"/>
        <w:rPr>
          <w:bCs/>
          <w:sz w:val="22"/>
          <w:szCs w:val="22"/>
        </w:rPr>
      </w:pPr>
      <w:r w:rsidRPr="00056AC0">
        <w:rPr>
          <w:bCs/>
          <w:sz w:val="22"/>
          <w:szCs w:val="22"/>
        </w:rPr>
        <w:t xml:space="preserve">Provide independent </w:t>
      </w:r>
      <w:proofErr w:type="gramStart"/>
      <w:r w:rsidRPr="00056AC0">
        <w:rPr>
          <w:bCs/>
          <w:sz w:val="22"/>
          <w:szCs w:val="22"/>
        </w:rPr>
        <w:t>advice;</w:t>
      </w:r>
      <w:proofErr w:type="gramEnd"/>
    </w:p>
    <w:p w14:paraId="4C44CB6A" w14:textId="77777777" w:rsidR="008323F2" w:rsidRPr="00056AC0" w:rsidRDefault="008323F2" w:rsidP="008323F2">
      <w:pPr>
        <w:pStyle w:val="ListParagraph"/>
        <w:numPr>
          <w:ilvl w:val="0"/>
          <w:numId w:val="1"/>
        </w:numPr>
        <w:spacing w:line="276" w:lineRule="auto"/>
        <w:contextualSpacing w:val="0"/>
        <w:jc w:val="both"/>
        <w:rPr>
          <w:bCs/>
          <w:sz w:val="22"/>
          <w:szCs w:val="22"/>
        </w:rPr>
      </w:pPr>
      <w:r w:rsidRPr="00056AC0">
        <w:rPr>
          <w:bCs/>
          <w:sz w:val="22"/>
          <w:szCs w:val="22"/>
        </w:rPr>
        <w:t xml:space="preserve">Be honest, and deliver legal services competently and </w:t>
      </w:r>
      <w:proofErr w:type="gramStart"/>
      <w:r w:rsidRPr="00056AC0">
        <w:rPr>
          <w:bCs/>
          <w:sz w:val="22"/>
          <w:szCs w:val="22"/>
        </w:rPr>
        <w:t>diligently;</w:t>
      </w:r>
      <w:proofErr w:type="gramEnd"/>
    </w:p>
    <w:p w14:paraId="063C76EE" w14:textId="77777777" w:rsidR="008323F2" w:rsidRPr="00056AC0" w:rsidRDefault="008323F2" w:rsidP="008323F2">
      <w:pPr>
        <w:pStyle w:val="ListParagraph"/>
        <w:numPr>
          <w:ilvl w:val="0"/>
          <w:numId w:val="1"/>
        </w:numPr>
        <w:contextualSpacing w:val="0"/>
        <w:jc w:val="both"/>
        <w:rPr>
          <w:bCs/>
          <w:sz w:val="22"/>
          <w:szCs w:val="22"/>
        </w:rPr>
      </w:pPr>
      <w:r w:rsidRPr="00056AC0">
        <w:rPr>
          <w:bCs/>
          <w:sz w:val="22"/>
          <w:szCs w:val="22"/>
        </w:rPr>
        <w:t>Charge costs that are fair, reasonable and proportionate.</w:t>
      </w:r>
    </w:p>
    <w:bookmarkEnd w:id="0"/>
    <w:p w14:paraId="58AB3EA2" w14:textId="77777777" w:rsidR="008323F2" w:rsidRPr="00056AC0" w:rsidRDefault="008323F2" w:rsidP="008323F2">
      <w:pPr>
        <w:jc w:val="both"/>
        <w:rPr>
          <w:sz w:val="22"/>
          <w:szCs w:val="22"/>
        </w:rPr>
      </w:pPr>
    </w:p>
    <w:p w14:paraId="3C8EB334" w14:textId="77777777" w:rsidR="008323F2" w:rsidRDefault="008323F2" w:rsidP="008323F2">
      <w:pPr>
        <w:jc w:val="both"/>
        <w:rPr>
          <w:sz w:val="22"/>
          <w:szCs w:val="22"/>
        </w:rPr>
      </w:pPr>
      <w:r w:rsidRPr="00056AC0">
        <w:rPr>
          <w:sz w:val="22"/>
          <w:szCs w:val="22"/>
        </w:rPr>
        <w:t xml:space="preserve">The statement also </w:t>
      </w:r>
      <w:r>
        <w:rPr>
          <w:sz w:val="22"/>
          <w:szCs w:val="22"/>
        </w:rPr>
        <w:t>notes that</w:t>
      </w:r>
      <w:r w:rsidRPr="00056AC0">
        <w:rPr>
          <w:sz w:val="22"/>
          <w:szCs w:val="22"/>
        </w:rPr>
        <w:t xml:space="preserve"> lawyers who are using AI </w:t>
      </w:r>
      <w:r>
        <w:rPr>
          <w:sz w:val="22"/>
          <w:szCs w:val="22"/>
        </w:rPr>
        <w:t>should</w:t>
      </w:r>
      <w:r w:rsidRPr="00056AC0">
        <w:rPr>
          <w:sz w:val="22"/>
          <w:szCs w:val="22"/>
        </w:rPr>
        <w:t xml:space="preserve"> consider:</w:t>
      </w:r>
    </w:p>
    <w:p w14:paraId="497DB060" w14:textId="77777777" w:rsidR="008323F2" w:rsidRPr="00056AC0" w:rsidRDefault="008323F2" w:rsidP="008323F2">
      <w:pPr>
        <w:jc w:val="both"/>
        <w:rPr>
          <w:sz w:val="22"/>
          <w:szCs w:val="22"/>
        </w:rPr>
      </w:pPr>
    </w:p>
    <w:p w14:paraId="75E42E96" w14:textId="77777777" w:rsidR="008323F2" w:rsidRPr="00056AC0" w:rsidRDefault="008323F2" w:rsidP="008323F2">
      <w:pPr>
        <w:pStyle w:val="ListParagraph"/>
        <w:numPr>
          <w:ilvl w:val="0"/>
          <w:numId w:val="2"/>
        </w:numPr>
        <w:spacing w:line="276" w:lineRule="auto"/>
        <w:contextualSpacing w:val="0"/>
        <w:jc w:val="both"/>
        <w:rPr>
          <w:sz w:val="22"/>
          <w:szCs w:val="22"/>
        </w:rPr>
      </w:pPr>
      <w:r>
        <w:rPr>
          <w:sz w:val="22"/>
          <w:szCs w:val="22"/>
        </w:rPr>
        <w:t xml:space="preserve">developing </w:t>
      </w:r>
      <w:r w:rsidRPr="00056AC0">
        <w:rPr>
          <w:sz w:val="22"/>
          <w:szCs w:val="22"/>
        </w:rPr>
        <w:t xml:space="preserve">clear, risk-based policies to minimise data and security </w:t>
      </w:r>
      <w:proofErr w:type="gramStart"/>
      <w:r w:rsidRPr="00056AC0">
        <w:rPr>
          <w:sz w:val="22"/>
          <w:szCs w:val="22"/>
        </w:rPr>
        <w:t>breaches;</w:t>
      </w:r>
      <w:proofErr w:type="gramEnd"/>
      <w:r w:rsidRPr="00056AC0">
        <w:rPr>
          <w:sz w:val="22"/>
          <w:szCs w:val="22"/>
        </w:rPr>
        <w:t xml:space="preserve"> </w:t>
      </w:r>
    </w:p>
    <w:p w14:paraId="4DDC16EB" w14:textId="77777777" w:rsidR="008323F2" w:rsidRPr="00056AC0" w:rsidRDefault="008323F2" w:rsidP="008323F2">
      <w:pPr>
        <w:pStyle w:val="ListParagraph"/>
        <w:numPr>
          <w:ilvl w:val="0"/>
          <w:numId w:val="2"/>
        </w:numPr>
        <w:spacing w:line="276" w:lineRule="auto"/>
        <w:jc w:val="both"/>
        <w:rPr>
          <w:sz w:val="22"/>
          <w:szCs w:val="22"/>
        </w:rPr>
      </w:pPr>
      <w:r w:rsidRPr="647B2A13">
        <w:rPr>
          <w:sz w:val="22"/>
          <w:szCs w:val="22"/>
        </w:rPr>
        <w:t xml:space="preserve">limiting the use of AI tools in their practice to lower-risk tasks, such as an initial draft of an email, and not using AI for higher risk tasks, like translating legal advice into another language; and </w:t>
      </w:r>
    </w:p>
    <w:p w14:paraId="0F681AE7" w14:textId="77777777" w:rsidR="008323F2" w:rsidRPr="00056AC0" w:rsidRDefault="008323F2" w:rsidP="008323F2">
      <w:pPr>
        <w:pStyle w:val="ListParagraph"/>
        <w:numPr>
          <w:ilvl w:val="0"/>
          <w:numId w:val="2"/>
        </w:numPr>
        <w:contextualSpacing w:val="0"/>
        <w:jc w:val="both"/>
        <w:rPr>
          <w:sz w:val="22"/>
          <w:szCs w:val="22"/>
        </w:rPr>
      </w:pPr>
      <w:r w:rsidRPr="00056AC0">
        <w:rPr>
          <w:sz w:val="22"/>
          <w:szCs w:val="22"/>
        </w:rPr>
        <w:t xml:space="preserve">being transparent about their use of </w:t>
      </w:r>
      <w:proofErr w:type="gramStart"/>
      <w:r w:rsidRPr="00056AC0">
        <w:rPr>
          <w:sz w:val="22"/>
          <w:szCs w:val="22"/>
        </w:rPr>
        <w:t>AI,</w:t>
      </w:r>
      <w:r>
        <w:rPr>
          <w:sz w:val="22"/>
          <w:szCs w:val="22"/>
        </w:rPr>
        <w:t xml:space="preserve"> and</w:t>
      </w:r>
      <w:proofErr w:type="gramEnd"/>
      <w:r w:rsidRPr="00056AC0">
        <w:rPr>
          <w:sz w:val="22"/>
          <w:szCs w:val="22"/>
        </w:rPr>
        <w:t xml:space="preserve"> disclosing to</w:t>
      </w:r>
      <w:r>
        <w:rPr>
          <w:sz w:val="22"/>
          <w:szCs w:val="22"/>
        </w:rPr>
        <w:t xml:space="preserve"> their</w:t>
      </w:r>
      <w:r w:rsidRPr="00056AC0">
        <w:rPr>
          <w:sz w:val="22"/>
          <w:szCs w:val="22"/>
        </w:rPr>
        <w:t xml:space="preserve"> clients and the court </w:t>
      </w:r>
      <w:r>
        <w:rPr>
          <w:sz w:val="22"/>
          <w:szCs w:val="22"/>
        </w:rPr>
        <w:t>when and how they have used the technology</w:t>
      </w:r>
      <w:r w:rsidRPr="00056AC0">
        <w:rPr>
          <w:sz w:val="22"/>
          <w:szCs w:val="22"/>
        </w:rPr>
        <w:t xml:space="preserve"> </w:t>
      </w:r>
      <w:r>
        <w:rPr>
          <w:sz w:val="22"/>
          <w:szCs w:val="22"/>
        </w:rPr>
        <w:t xml:space="preserve">– </w:t>
      </w:r>
      <w:r w:rsidRPr="00056AC0">
        <w:rPr>
          <w:sz w:val="22"/>
          <w:szCs w:val="22"/>
        </w:rPr>
        <w:t>where necessary or mandated by the rules of court.</w:t>
      </w:r>
    </w:p>
    <w:p w14:paraId="27DCC81E" w14:textId="77777777" w:rsidR="008323F2" w:rsidRPr="00056AC0" w:rsidRDefault="008323F2" w:rsidP="008323F2">
      <w:pPr>
        <w:ind w:left="360"/>
        <w:jc w:val="both"/>
        <w:rPr>
          <w:sz w:val="22"/>
          <w:szCs w:val="22"/>
        </w:rPr>
      </w:pPr>
    </w:p>
    <w:p w14:paraId="5BF5E337" w14:textId="77777777" w:rsidR="008323F2" w:rsidRDefault="008323F2" w:rsidP="008323F2">
      <w:pPr>
        <w:jc w:val="both"/>
      </w:pPr>
      <w:r w:rsidRPr="00056AC0">
        <w:rPr>
          <w:sz w:val="22"/>
          <w:szCs w:val="22"/>
        </w:rPr>
        <w:t xml:space="preserve">You can access the full statement </w:t>
      </w:r>
      <w:hyperlink r:id="rId10" w:history="1">
        <w:r w:rsidRPr="00A7655C">
          <w:rPr>
            <w:rStyle w:val="Hyperlink"/>
            <w:sz w:val="22"/>
            <w:szCs w:val="22"/>
          </w:rPr>
          <w:t>here</w:t>
        </w:r>
      </w:hyperlink>
      <w:r>
        <w:rPr>
          <w:sz w:val="22"/>
          <w:szCs w:val="22"/>
        </w:rPr>
        <w:t>.</w:t>
      </w:r>
    </w:p>
    <w:p w14:paraId="031A974A" w14:textId="77777777" w:rsidR="008323F2" w:rsidRDefault="008323F2" w:rsidP="008323F2">
      <w:pPr>
        <w:pStyle w:val="Bodycopy"/>
        <w:rPr>
          <w:b/>
          <w:color w:val="F0652F"/>
        </w:rPr>
      </w:pPr>
    </w:p>
    <w:p w14:paraId="2E2AB159" w14:textId="77777777" w:rsidR="008323F2" w:rsidRPr="005418BC" w:rsidRDefault="008323F2" w:rsidP="008323F2">
      <w:pPr>
        <w:pStyle w:val="Bodycopy"/>
        <w:rPr>
          <w:rFonts w:asciiTheme="minorHAnsi" w:hAnsiTheme="minorHAnsi"/>
          <w:b/>
          <w:sz w:val="24"/>
          <w:szCs w:val="24"/>
        </w:rPr>
      </w:pPr>
      <w:r w:rsidRPr="005418BC">
        <w:rPr>
          <w:rFonts w:asciiTheme="minorHAnsi" w:hAnsiTheme="minorHAnsi"/>
          <w:b/>
          <w:sz w:val="24"/>
          <w:szCs w:val="24"/>
        </w:rPr>
        <w:t>MEDIA CONTACTS:</w:t>
      </w:r>
    </w:p>
    <w:p w14:paraId="36E27768" w14:textId="77777777" w:rsidR="008323F2" w:rsidRDefault="008323F2" w:rsidP="008323F2">
      <w:pPr>
        <w:rPr>
          <w:rFonts w:ascii="Arial" w:eastAsia="Aptos" w:hAnsi="Arial" w:cs="Arial"/>
          <w:b/>
          <w:bCs/>
          <w:color w:val="8FB300"/>
          <w:kern w:val="0"/>
          <w:sz w:val="20"/>
          <w:szCs w:val="20"/>
          <w:lang w:eastAsia="en-AU"/>
        </w:rPr>
      </w:pPr>
      <w:r w:rsidRPr="005418BC">
        <w:rPr>
          <w:rFonts w:ascii="Arial" w:eastAsia="Aptos" w:hAnsi="Arial" w:cs="Arial"/>
          <w:b/>
          <w:bCs/>
          <w:color w:val="8FB300"/>
          <w:kern w:val="0"/>
          <w:sz w:val="20"/>
          <w:szCs w:val="20"/>
          <w:lang w:eastAsia="en-AU"/>
        </w:rPr>
        <w:t>Chris Harris | Principal Communications Advis</w:t>
      </w:r>
      <w:r>
        <w:rPr>
          <w:rFonts w:ascii="Arial" w:eastAsia="Aptos" w:hAnsi="Arial" w:cs="Arial"/>
          <w:b/>
          <w:bCs/>
          <w:color w:val="8FB300"/>
          <w:kern w:val="0"/>
          <w:sz w:val="20"/>
          <w:szCs w:val="20"/>
          <w:lang w:eastAsia="en-AU"/>
        </w:rPr>
        <w:t>e</w:t>
      </w:r>
      <w:r w:rsidRPr="005418BC">
        <w:rPr>
          <w:rFonts w:ascii="Arial" w:eastAsia="Aptos" w:hAnsi="Arial" w:cs="Arial"/>
          <w:b/>
          <w:bCs/>
          <w:color w:val="8FB300"/>
          <w:kern w:val="0"/>
          <w:sz w:val="20"/>
          <w:szCs w:val="20"/>
          <w:lang w:eastAsia="en-AU"/>
        </w:rPr>
        <w:t>r – Lawyer Communications</w:t>
      </w:r>
    </w:p>
    <w:p w14:paraId="290B939E" w14:textId="77777777" w:rsidR="008323F2" w:rsidRDefault="008323F2" w:rsidP="008323F2">
      <w:pPr>
        <w:rPr>
          <w:rStyle w:val="Hyperlink"/>
          <w:color w:val="auto"/>
        </w:rPr>
      </w:pPr>
      <w:r>
        <w:rPr>
          <w:b/>
        </w:rPr>
        <w:t>Victorian Legal Services Board and Commissioner</w:t>
      </w:r>
      <w:r w:rsidRPr="00163FA2">
        <w:br/>
        <w:t xml:space="preserve">M: +61 </w:t>
      </w:r>
      <w:r>
        <w:t xml:space="preserve">402 857 873 </w:t>
      </w:r>
      <w:r w:rsidRPr="00163FA2">
        <w:t>| E: </w:t>
      </w:r>
      <w:r w:rsidRPr="007C281F">
        <w:rPr>
          <w:rStyle w:val="Hyperlink"/>
        </w:rPr>
        <w:t>charris@lsbc.vic.gov.au</w:t>
      </w:r>
      <w:r>
        <w:t xml:space="preserve"> </w:t>
      </w:r>
    </w:p>
    <w:p w14:paraId="3C2AEF23" w14:textId="77777777" w:rsidR="008323F2" w:rsidRPr="005418BC" w:rsidRDefault="008323F2" w:rsidP="008323F2">
      <w:pPr>
        <w:pStyle w:val="Bodycopy"/>
        <w:rPr>
          <w:rStyle w:val="Hyperlink"/>
          <w:b/>
          <w:color w:val="F0652F"/>
          <w:u w:val="none"/>
        </w:rPr>
      </w:pPr>
      <w:r>
        <w:rPr>
          <w:b/>
          <w:color w:val="F0652F"/>
        </w:rPr>
        <w:t>Damien Smith</w:t>
      </w:r>
      <w:r w:rsidRPr="00163FA2">
        <w:rPr>
          <w:b/>
          <w:color w:val="F0652F"/>
        </w:rPr>
        <w:t xml:space="preserve"> | </w:t>
      </w:r>
      <w:r>
        <w:rPr>
          <w:b/>
          <w:color w:val="F0652F"/>
        </w:rPr>
        <w:t xml:space="preserve">Director, </w:t>
      </w:r>
      <w:r w:rsidRPr="00163FA2">
        <w:rPr>
          <w:b/>
          <w:color w:val="F0652F"/>
        </w:rPr>
        <w:t xml:space="preserve">Media and Public Relations </w:t>
      </w:r>
      <w:r w:rsidRPr="00163FA2">
        <w:rPr>
          <w:b/>
          <w:color w:val="F0652F"/>
        </w:rPr>
        <w:br/>
      </w:r>
      <w:r w:rsidRPr="00163FA2">
        <w:rPr>
          <w:b/>
        </w:rPr>
        <w:t>The Law Society of New South Wales</w:t>
      </w:r>
      <w:r w:rsidRPr="00163FA2">
        <w:br/>
        <w:t xml:space="preserve">M: +61 </w:t>
      </w:r>
      <w:r>
        <w:t>417 788 947</w:t>
      </w:r>
      <w:r w:rsidRPr="00163FA2">
        <w:t xml:space="preserve"> | E: </w:t>
      </w:r>
      <w:hyperlink r:id="rId11" w:history="1">
        <w:r w:rsidRPr="002D3FE6">
          <w:rPr>
            <w:rStyle w:val="Hyperlink"/>
          </w:rPr>
          <w:t>Damien.Smith@lawsociety.com.au</w:t>
        </w:r>
      </w:hyperlink>
      <w:r>
        <w:t xml:space="preserve"> </w:t>
      </w:r>
      <w:r w:rsidRPr="00163FA2">
        <w:rPr>
          <w:rStyle w:val="Hyperlink"/>
          <w:color w:val="auto"/>
        </w:rPr>
        <w:t xml:space="preserve"> </w:t>
      </w:r>
    </w:p>
    <w:p w14:paraId="5624EA47" w14:textId="77777777" w:rsidR="008323F2" w:rsidRPr="005418BC" w:rsidRDefault="008323F2" w:rsidP="008323F2">
      <w:pPr>
        <w:pStyle w:val="xmsonormal"/>
        <w:rPr>
          <w:b/>
          <w:bCs/>
          <w:color w:val="669900"/>
        </w:rPr>
      </w:pPr>
      <w:r w:rsidRPr="005418BC">
        <w:rPr>
          <w:rFonts w:ascii="Arial" w:hAnsi="Arial" w:cs="Arial"/>
          <w:b/>
          <w:bCs/>
          <w:color w:val="669900"/>
          <w:sz w:val="20"/>
          <w:szCs w:val="20"/>
        </w:rPr>
        <w:t xml:space="preserve">Rick Boyd | </w:t>
      </w:r>
      <w:r w:rsidRPr="005418BC">
        <w:rPr>
          <w:rFonts w:ascii="Arial" w:hAnsi="Arial" w:cs="Arial"/>
          <w:b/>
          <w:bCs/>
          <w:color w:val="669900"/>
          <w:sz w:val="18"/>
          <w:szCs w:val="18"/>
        </w:rPr>
        <w:t>Communications and Stakeholder Engagement Consultant</w:t>
      </w:r>
    </w:p>
    <w:p w14:paraId="613C9A74" w14:textId="77777777" w:rsidR="008323F2" w:rsidRDefault="008323F2" w:rsidP="008323F2">
      <w:pPr>
        <w:rPr>
          <w:rFonts w:ascii="Georgia" w:eastAsia="Calibri" w:hAnsi="Georgia" w:cs="Arial"/>
          <w:kern w:val="0"/>
          <w:sz w:val="20"/>
          <w:szCs w:val="20"/>
          <w:lang w:eastAsia="en-AU"/>
          <w14:ligatures w14:val="none"/>
        </w:rPr>
      </w:pPr>
      <w:r w:rsidRPr="005418BC">
        <w:rPr>
          <w:rFonts w:ascii="Georgia" w:eastAsia="Calibri" w:hAnsi="Georgia" w:cs="Arial"/>
          <w:b/>
          <w:kern w:val="0"/>
          <w:sz w:val="20"/>
          <w:szCs w:val="20"/>
          <w:lang w:eastAsia="en-AU"/>
          <w14:ligatures w14:val="none"/>
        </w:rPr>
        <w:t>Legal Practice Board of Western Australia</w:t>
      </w:r>
      <w:r w:rsidRPr="005418BC">
        <w:rPr>
          <w:rFonts w:ascii="Georgia" w:eastAsia="Calibri" w:hAnsi="Georgia" w:cs="Arial"/>
          <w:b/>
          <w:color w:val="F0652F"/>
          <w:kern w:val="0"/>
          <w:sz w:val="20"/>
          <w:szCs w:val="20"/>
          <w:lang w:eastAsia="en-AU"/>
          <w14:ligatures w14:val="none"/>
        </w:rPr>
        <w:t xml:space="preserve"> </w:t>
      </w:r>
      <w:r w:rsidRPr="005418BC">
        <w:rPr>
          <w:rFonts w:ascii="Georgia" w:eastAsia="Calibri" w:hAnsi="Georgia" w:cs="Arial"/>
          <w:b/>
          <w:color w:val="F0652F"/>
          <w:kern w:val="0"/>
          <w:sz w:val="20"/>
          <w:szCs w:val="20"/>
          <w:lang w:eastAsia="en-AU"/>
          <w14:ligatures w14:val="none"/>
        </w:rPr>
        <w:br/>
      </w:r>
      <w:r w:rsidRPr="005418BC">
        <w:rPr>
          <w:rFonts w:ascii="Georgia" w:eastAsia="Calibri" w:hAnsi="Georgia" w:cs="Arial"/>
          <w:kern w:val="0"/>
          <w:sz w:val="20"/>
          <w:szCs w:val="20"/>
          <w:lang w:eastAsia="en-AU"/>
          <w14:ligatures w14:val="none"/>
        </w:rPr>
        <w:t>M: +61 411 344 941 | E: </w:t>
      </w:r>
      <w:hyperlink r:id="rId12" w:history="1">
        <w:r w:rsidRPr="005418BC">
          <w:rPr>
            <w:rStyle w:val="Hyperlink"/>
            <w:rFonts w:ascii="Georgia" w:hAnsi="Georgia"/>
            <w:sz w:val="20"/>
            <w:szCs w:val="20"/>
          </w:rPr>
          <w:t>RBoyd@lpbwa.com</w:t>
        </w:r>
      </w:hyperlink>
    </w:p>
    <w:p w14:paraId="6CFE4D39" w14:textId="77777777" w:rsidR="008323F2" w:rsidRPr="00056AC0" w:rsidRDefault="008323F2" w:rsidP="008323F2">
      <w:pPr>
        <w:rPr>
          <w:rFonts w:asciiTheme="majorHAnsi" w:hAnsiTheme="majorHAnsi"/>
          <w:color w:val="FF6600"/>
        </w:rPr>
      </w:pPr>
      <w:r>
        <w:t xml:space="preserve"> </w:t>
      </w:r>
    </w:p>
    <w:p w14:paraId="43510EC9" w14:textId="77777777" w:rsidR="0077699F" w:rsidRDefault="0077699F"/>
    <w:sectPr w:rsidR="0077699F" w:rsidSect="00EA310C">
      <w:headerReference w:type="even" r:id="rId13"/>
      <w:headerReference w:type="default" r:id="rId14"/>
      <w:footerReference w:type="default" r:id="rId15"/>
      <w:headerReference w:type="first" r:id="rId16"/>
      <w:pgSz w:w="11906" w:h="16838"/>
      <w:pgMar w:top="1440" w:right="1440" w:bottom="1440" w:left="1440" w:header="708"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F614" w14:textId="77777777" w:rsidR="00EA310C" w:rsidRDefault="00EA310C" w:rsidP="00EA310C">
      <w:r>
        <w:separator/>
      </w:r>
    </w:p>
  </w:endnote>
  <w:endnote w:type="continuationSeparator" w:id="0">
    <w:p w14:paraId="5BAAB803" w14:textId="77777777" w:rsidR="00EA310C" w:rsidRDefault="00EA310C" w:rsidP="00EA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395B" w14:textId="5C184BF9" w:rsidR="00EA310C" w:rsidRDefault="00576C49" w:rsidP="00EA310C">
    <w:pPr>
      <w:pStyle w:val="Footer"/>
      <w:ind w:left="-1440" w:firstLine="22"/>
    </w:pPr>
    <w:r w:rsidRPr="00576C49">
      <w:rPr>
        <w:noProof/>
      </w:rPr>
      <w:drawing>
        <wp:inline distT="0" distB="0" distL="0" distR="0" wp14:anchorId="2B276F5E" wp14:editId="03B7B7FA">
          <wp:extent cx="7546157" cy="460662"/>
          <wp:effectExtent l="0" t="0" r="0" b="0"/>
          <wp:docPr id="2319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191" name=""/>
                  <pic:cNvPicPr/>
                </pic:nvPicPr>
                <pic:blipFill>
                  <a:blip r:embed="rId1"/>
                  <a:stretch>
                    <a:fillRect/>
                  </a:stretch>
                </pic:blipFill>
                <pic:spPr>
                  <a:xfrm>
                    <a:off x="0" y="0"/>
                    <a:ext cx="9281244" cy="5665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1487A" w14:textId="77777777" w:rsidR="00EA310C" w:rsidRDefault="00EA310C" w:rsidP="00EA310C">
      <w:r>
        <w:separator/>
      </w:r>
    </w:p>
  </w:footnote>
  <w:footnote w:type="continuationSeparator" w:id="0">
    <w:p w14:paraId="5B35E080" w14:textId="77777777" w:rsidR="00EA310C" w:rsidRDefault="00EA310C" w:rsidP="00EA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2024" w14:textId="4B5C25B4" w:rsidR="00576C49" w:rsidRDefault="00BD4A8C">
    <w:pPr>
      <w:pStyle w:val="Header"/>
    </w:pPr>
    <w:r>
      <w:rPr>
        <w:noProof/>
      </w:rPr>
      <mc:AlternateContent>
        <mc:Choice Requires="wps">
          <w:drawing>
            <wp:anchor distT="0" distB="0" distL="0" distR="0" simplePos="0" relativeHeight="251659264" behindDoc="0" locked="0" layoutInCell="1" allowOverlap="1" wp14:anchorId="291F4B46" wp14:editId="7D1FD68E">
              <wp:simplePos x="635" y="635"/>
              <wp:positionH relativeFrom="page">
                <wp:align>center</wp:align>
              </wp:positionH>
              <wp:positionV relativeFrom="page">
                <wp:align>top</wp:align>
              </wp:positionV>
              <wp:extent cx="459740" cy="345440"/>
              <wp:effectExtent l="0" t="0" r="16510" b="16510"/>
              <wp:wrapNone/>
              <wp:docPr id="2738984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BE1BD0" w14:textId="633DD48D" w:rsidR="00BD4A8C" w:rsidRPr="00BD4A8C" w:rsidRDefault="00BD4A8C" w:rsidP="00BD4A8C">
                          <w:pPr>
                            <w:rPr>
                              <w:rFonts w:ascii="Calibri" w:eastAsia="Calibri" w:hAnsi="Calibri" w:cs="Calibri"/>
                              <w:noProof/>
                              <w:color w:val="FF0000"/>
                              <w:sz w:val="20"/>
                              <w:szCs w:val="20"/>
                            </w:rPr>
                          </w:pPr>
                          <w:r w:rsidRPr="00BD4A8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1F4B4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47BE1BD0" w14:textId="633DD48D" w:rsidR="00BD4A8C" w:rsidRPr="00BD4A8C" w:rsidRDefault="00BD4A8C" w:rsidP="00BD4A8C">
                    <w:pPr>
                      <w:rPr>
                        <w:rFonts w:ascii="Calibri" w:eastAsia="Calibri" w:hAnsi="Calibri" w:cs="Calibri"/>
                        <w:noProof/>
                        <w:color w:val="FF0000"/>
                        <w:sz w:val="20"/>
                        <w:szCs w:val="20"/>
                      </w:rPr>
                    </w:pPr>
                    <w:r w:rsidRPr="00BD4A8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04B0" w14:textId="763FC6E3" w:rsidR="00EA310C" w:rsidRDefault="00BD4A8C">
    <w:pPr>
      <w:pStyle w:val="Header"/>
    </w:pPr>
    <w:r>
      <w:rPr>
        <w:noProof/>
      </w:rPr>
      <mc:AlternateContent>
        <mc:Choice Requires="wps">
          <w:drawing>
            <wp:anchor distT="0" distB="0" distL="0" distR="0" simplePos="0" relativeHeight="251660288" behindDoc="0" locked="0" layoutInCell="1" allowOverlap="1" wp14:anchorId="07BDF37F" wp14:editId="0E9F10E3">
              <wp:simplePos x="914400" y="450850"/>
              <wp:positionH relativeFrom="page">
                <wp:align>center</wp:align>
              </wp:positionH>
              <wp:positionV relativeFrom="page">
                <wp:align>top</wp:align>
              </wp:positionV>
              <wp:extent cx="459740" cy="345440"/>
              <wp:effectExtent l="0" t="0" r="16510" b="16510"/>
              <wp:wrapNone/>
              <wp:docPr id="8825240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3DD6F3" w14:textId="0757A039" w:rsidR="00BD4A8C" w:rsidRPr="00BD4A8C" w:rsidRDefault="00BD4A8C" w:rsidP="00BD4A8C">
                          <w:pPr>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DF37F"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A3DD6F3" w14:textId="0757A039" w:rsidR="00BD4A8C" w:rsidRPr="00BD4A8C" w:rsidRDefault="00BD4A8C" w:rsidP="00BD4A8C">
                    <w:pPr>
                      <w:rPr>
                        <w:rFonts w:ascii="Calibri" w:eastAsia="Calibri" w:hAnsi="Calibri" w:cs="Calibri"/>
                        <w:noProof/>
                        <w:color w:val="FF0000"/>
                        <w:sz w:val="20"/>
                        <w:szCs w:val="20"/>
                      </w:rPr>
                    </w:pPr>
                  </w:p>
                </w:txbxContent>
              </v:textbox>
              <w10:wrap anchorx="page" anchory="page"/>
            </v:shape>
          </w:pict>
        </mc:Fallback>
      </mc:AlternateContent>
    </w:r>
    <w:r w:rsidR="00EA310C">
      <w:rPr>
        <w:noProof/>
      </w:rPr>
      <w:drawing>
        <wp:inline distT="0" distB="0" distL="0" distR="0" wp14:anchorId="2CD4D7BA" wp14:editId="3F5E7E0C">
          <wp:extent cx="5600700" cy="660400"/>
          <wp:effectExtent l="0" t="0" r="0" b="0"/>
          <wp:docPr id="368713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13182" name="Picture 368713182"/>
                  <pic:cNvPicPr/>
                </pic:nvPicPr>
                <pic:blipFill>
                  <a:blip r:embed="rId1">
                    <a:extLst>
                      <a:ext uri="{28A0092B-C50C-407E-A947-70E740481C1C}">
                        <a14:useLocalDpi xmlns:a14="http://schemas.microsoft.com/office/drawing/2010/main" val="0"/>
                      </a:ext>
                    </a:extLst>
                  </a:blip>
                  <a:stretch>
                    <a:fillRect/>
                  </a:stretch>
                </pic:blipFill>
                <pic:spPr>
                  <a:xfrm>
                    <a:off x="0" y="0"/>
                    <a:ext cx="5600700" cy="660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08FE" w14:textId="108BBEB1" w:rsidR="00576C49" w:rsidRDefault="00BD4A8C">
    <w:pPr>
      <w:pStyle w:val="Header"/>
    </w:pPr>
    <w:r>
      <w:rPr>
        <w:noProof/>
      </w:rPr>
      <mc:AlternateContent>
        <mc:Choice Requires="wps">
          <w:drawing>
            <wp:anchor distT="0" distB="0" distL="0" distR="0" simplePos="0" relativeHeight="251658240" behindDoc="0" locked="0" layoutInCell="1" allowOverlap="1" wp14:anchorId="5C1F3369" wp14:editId="18574435">
              <wp:simplePos x="635" y="635"/>
              <wp:positionH relativeFrom="page">
                <wp:align>center</wp:align>
              </wp:positionH>
              <wp:positionV relativeFrom="page">
                <wp:align>top</wp:align>
              </wp:positionV>
              <wp:extent cx="459740" cy="345440"/>
              <wp:effectExtent l="0" t="0" r="16510" b="16510"/>
              <wp:wrapNone/>
              <wp:docPr id="20657539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1724108" w14:textId="2735A148" w:rsidR="00BD4A8C" w:rsidRPr="00BD4A8C" w:rsidRDefault="00BD4A8C" w:rsidP="00BD4A8C">
                          <w:pPr>
                            <w:rPr>
                              <w:rFonts w:ascii="Calibri" w:eastAsia="Calibri" w:hAnsi="Calibri" w:cs="Calibri"/>
                              <w:noProof/>
                              <w:color w:val="FF0000"/>
                              <w:sz w:val="20"/>
                              <w:szCs w:val="20"/>
                            </w:rPr>
                          </w:pPr>
                          <w:r w:rsidRPr="00BD4A8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1F3369"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51724108" w14:textId="2735A148" w:rsidR="00BD4A8C" w:rsidRPr="00BD4A8C" w:rsidRDefault="00BD4A8C" w:rsidP="00BD4A8C">
                    <w:pPr>
                      <w:rPr>
                        <w:rFonts w:ascii="Calibri" w:eastAsia="Calibri" w:hAnsi="Calibri" w:cs="Calibri"/>
                        <w:noProof/>
                        <w:color w:val="FF0000"/>
                        <w:sz w:val="20"/>
                        <w:szCs w:val="20"/>
                      </w:rPr>
                    </w:pPr>
                    <w:r w:rsidRPr="00BD4A8C">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71F0E"/>
    <w:multiLevelType w:val="hybridMultilevel"/>
    <w:tmpl w:val="13DE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8A6CC7"/>
    <w:multiLevelType w:val="hybridMultilevel"/>
    <w:tmpl w:val="AE7E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62147">
    <w:abstractNumId w:val="1"/>
  </w:num>
  <w:num w:numId="2" w16cid:durableId="14150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0C"/>
    <w:rsid w:val="00130298"/>
    <w:rsid w:val="001904D8"/>
    <w:rsid w:val="0028347B"/>
    <w:rsid w:val="00287651"/>
    <w:rsid w:val="00576C49"/>
    <w:rsid w:val="006A4488"/>
    <w:rsid w:val="0077699F"/>
    <w:rsid w:val="008323F2"/>
    <w:rsid w:val="00945664"/>
    <w:rsid w:val="00AD5E30"/>
    <w:rsid w:val="00B44C77"/>
    <w:rsid w:val="00B57025"/>
    <w:rsid w:val="00BD4A8C"/>
    <w:rsid w:val="00CB2429"/>
    <w:rsid w:val="00CC32BA"/>
    <w:rsid w:val="00CE4BAD"/>
    <w:rsid w:val="00EA310C"/>
    <w:rsid w:val="00F5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542FA"/>
  <w15:chartTrackingRefBased/>
  <w15:docId w15:val="{36953514-003D-9D46-861F-FE1D9414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1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1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1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1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10C"/>
    <w:rPr>
      <w:rFonts w:eastAsiaTheme="majorEastAsia" w:cstheme="majorBidi"/>
      <w:color w:val="272727" w:themeColor="text1" w:themeTint="D8"/>
    </w:rPr>
  </w:style>
  <w:style w:type="paragraph" w:styleId="Title">
    <w:name w:val="Title"/>
    <w:basedOn w:val="Normal"/>
    <w:next w:val="Normal"/>
    <w:link w:val="TitleChar"/>
    <w:uiPriority w:val="10"/>
    <w:qFormat/>
    <w:rsid w:val="00EA31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1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1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310C"/>
    <w:rPr>
      <w:i/>
      <w:iCs/>
      <w:color w:val="404040" w:themeColor="text1" w:themeTint="BF"/>
    </w:rPr>
  </w:style>
  <w:style w:type="paragraph" w:styleId="ListParagraph">
    <w:name w:val="List Paragraph"/>
    <w:basedOn w:val="Normal"/>
    <w:uiPriority w:val="34"/>
    <w:qFormat/>
    <w:rsid w:val="00EA310C"/>
    <w:pPr>
      <w:ind w:left="720"/>
      <w:contextualSpacing/>
    </w:pPr>
  </w:style>
  <w:style w:type="character" w:styleId="IntenseEmphasis">
    <w:name w:val="Intense Emphasis"/>
    <w:basedOn w:val="DefaultParagraphFont"/>
    <w:uiPriority w:val="21"/>
    <w:qFormat/>
    <w:rsid w:val="00EA310C"/>
    <w:rPr>
      <w:i/>
      <w:iCs/>
      <w:color w:val="0F4761" w:themeColor="accent1" w:themeShade="BF"/>
    </w:rPr>
  </w:style>
  <w:style w:type="paragraph" w:styleId="IntenseQuote">
    <w:name w:val="Intense Quote"/>
    <w:basedOn w:val="Normal"/>
    <w:next w:val="Normal"/>
    <w:link w:val="IntenseQuoteChar"/>
    <w:uiPriority w:val="30"/>
    <w:qFormat/>
    <w:rsid w:val="00EA3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10C"/>
    <w:rPr>
      <w:i/>
      <w:iCs/>
      <w:color w:val="0F4761" w:themeColor="accent1" w:themeShade="BF"/>
    </w:rPr>
  </w:style>
  <w:style w:type="character" w:styleId="IntenseReference">
    <w:name w:val="Intense Reference"/>
    <w:basedOn w:val="DefaultParagraphFont"/>
    <w:uiPriority w:val="32"/>
    <w:qFormat/>
    <w:rsid w:val="00EA310C"/>
    <w:rPr>
      <w:b/>
      <w:bCs/>
      <w:smallCaps/>
      <w:color w:val="0F4761" w:themeColor="accent1" w:themeShade="BF"/>
      <w:spacing w:val="5"/>
    </w:rPr>
  </w:style>
  <w:style w:type="paragraph" w:styleId="Header">
    <w:name w:val="header"/>
    <w:basedOn w:val="Normal"/>
    <w:link w:val="HeaderChar"/>
    <w:uiPriority w:val="99"/>
    <w:unhideWhenUsed/>
    <w:rsid w:val="00EA310C"/>
    <w:pPr>
      <w:tabs>
        <w:tab w:val="center" w:pos="4513"/>
        <w:tab w:val="right" w:pos="9026"/>
      </w:tabs>
    </w:pPr>
  </w:style>
  <w:style w:type="character" w:customStyle="1" w:styleId="HeaderChar">
    <w:name w:val="Header Char"/>
    <w:basedOn w:val="DefaultParagraphFont"/>
    <w:link w:val="Header"/>
    <w:uiPriority w:val="99"/>
    <w:rsid w:val="00EA310C"/>
  </w:style>
  <w:style w:type="paragraph" w:styleId="Footer">
    <w:name w:val="footer"/>
    <w:basedOn w:val="Normal"/>
    <w:link w:val="FooterChar"/>
    <w:uiPriority w:val="99"/>
    <w:unhideWhenUsed/>
    <w:rsid w:val="00EA310C"/>
    <w:pPr>
      <w:tabs>
        <w:tab w:val="center" w:pos="4513"/>
        <w:tab w:val="right" w:pos="9026"/>
      </w:tabs>
    </w:pPr>
  </w:style>
  <w:style w:type="character" w:customStyle="1" w:styleId="FooterChar">
    <w:name w:val="Footer Char"/>
    <w:basedOn w:val="DefaultParagraphFont"/>
    <w:link w:val="Footer"/>
    <w:uiPriority w:val="99"/>
    <w:rsid w:val="00EA310C"/>
  </w:style>
  <w:style w:type="paragraph" w:customStyle="1" w:styleId="Bodycopy">
    <w:name w:val="Body copy"/>
    <w:qFormat/>
    <w:rsid w:val="008323F2"/>
    <w:pPr>
      <w:spacing w:before="100" w:after="240" w:line="276" w:lineRule="auto"/>
    </w:pPr>
    <w:rPr>
      <w:rFonts w:ascii="Georgia" w:eastAsia="Calibri" w:hAnsi="Georgia" w:cs="Arial"/>
      <w:kern w:val="0"/>
      <w:sz w:val="20"/>
      <w:szCs w:val="20"/>
      <w:lang w:eastAsia="en-AU"/>
      <w14:ligatures w14:val="none"/>
    </w:rPr>
  </w:style>
  <w:style w:type="character" w:styleId="Hyperlink">
    <w:name w:val="Hyperlink"/>
    <w:basedOn w:val="DefaultParagraphFont"/>
    <w:rsid w:val="008323F2"/>
    <w:rPr>
      <w:color w:val="467886" w:themeColor="hyperlink"/>
      <w:u w:val="single"/>
    </w:rPr>
  </w:style>
  <w:style w:type="paragraph" w:customStyle="1" w:styleId="xmsonormal">
    <w:name w:val="x_msonormal"/>
    <w:basedOn w:val="Normal"/>
    <w:rsid w:val="008323F2"/>
    <w:rPr>
      <w:rFonts w:ascii="Aptos" w:eastAsia="Aptos" w:hAnsi="Aptos" w:cs="Aptos"/>
      <w:kern w:val="0"/>
      <w:lang w:eastAsia="en-AU"/>
      <w14:ligatures w14:val="none"/>
    </w:rPr>
  </w:style>
  <w:style w:type="character" w:styleId="FollowedHyperlink">
    <w:name w:val="FollowedHyperlink"/>
    <w:basedOn w:val="DefaultParagraphFont"/>
    <w:uiPriority w:val="99"/>
    <w:semiHidden/>
    <w:unhideWhenUsed/>
    <w:rsid w:val="00CC32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Boyd@lpbw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mien.Smith@lawsociety.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sbc.vic.gov.au/news-updates/new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89B5D6425D4A708E703D83C8260A46"/>
        <w:category>
          <w:name w:val="General"/>
          <w:gallery w:val="placeholder"/>
        </w:category>
        <w:types>
          <w:type w:val="bbPlcHdr"/>
        </w:types>
        <w:behaviors>
          <w:behavior w:val="content"/>
        </w:behaviors>
        <w:guid w:val="{B28C5B80-AACA-476F-A903-E22A5F54272D}"/>
      </w:docPartPr>
      <w:docPartBody>
        <w:p w:rsidR="000944C1" w:rsidRDefault="000944C1" w:rsidP="000944C1">
          <w:pPr>
            <w:pStyle w:val="8389B5D6425D4A708E703D83C8260A46"/>
          </w:pPr>
          <w:r w:rsidRPr="00161D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C1"/>
    <w:rsid w:val="000944C1"/>
    <w:rsid w:val="00B57025"/>
    <w:rsid w:val="00CE4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4C1"/>
    <w:rPr>
      <w:color w:val="808080"/>
    </w:rPr>
  </w:style>
  <w:style w:type="paragraph" w:customStyle="1" w:styleId="8389B5D6425D4A708E703D83C8260A46">
    <w:name w:val="8389B5D6425D4A708E703D83C8260A46"/>
    <w:rsid w:val="00094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4ee74a-6af1-4107-a4f1-2bcc9bec433c">
      <Terms xmlns="http://schemas.microsoft.com/office/infopath/2007/PartnerControls"/>
    </lcf76f155ced4ddcb4097134ff3c332f>
    <TaxCatchAll xmlns="653ca7ab-3842-4176-a071-8b17393d4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055779520C94F87EBFF255591DBA4" ma:contentTypeVersion="13" ma:contentTypeDescription="Create a new document." ma:contentTypeScope="" ma:versionID="d8784991797962481d6dc6e0edb0b574">
  <xsd:schema xmlns:xsd="http://www.w3.org/2001/XMLSchema" xmlns:xs="http://www.w3.org/2001/XMLSchema" xmlns:p="http://schemas.microsoft.com/office/2006/metadata/properties" xmlns:ns2="344ee74a-6af1-4107-a4f1-2bcc9bec433c" xmlns:ns3="653ca7ab-3842-4176-a071-8b17393d4153" targetNamespace="http://schemas.microsoft.com/office/2006/metadata/properties" ma:root="true" ma:fieldsID="00b219df3de079f457f49ef6fca5b327" ns2:_="" ns3:_="">
    <xsd:import namespace="344ee74a-6af1-4107-a4f1-2bcc9bec433c"/>
    <xsd:import namespace="653ca7ab-3842-4176-a071-8b17393d41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e74a-6af1-4107-a4f1-2bcc9bec4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8eafa-a871-41a5-a9e2-eee150044c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3ca7ab-3842-4176-a071-8b17393d41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f3c907-1b1b-46a7-9264-9301e1338fb6}" ma:internalName="TaxCatchAll" ma:showField="CatchAllData" ma:web="653ca7ab-3842-4176-a071-8b17393d4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53357-8F07-46E6-B05C-28C401441661}">
  <ds:schemaRefs>
    <ds:schemaRef ds:uri="http://schemas.microsoft.com/office/2006/metadata/properties"/>
    <ds:schemaRef ds:uri="http://schemas.microsoft.com/office/infopath/2007/PartnerControls"/>
    <ds:schemaRef ds:uri="344ee74a-6af1-4107-a4f1-2bcc9bec433c"/>
    <ds:schemaRef ds:uri="653ca7ab-3842-4176-a071-8b17393d4153"/>
  </ds:schemaRefs>
</ds:datastoreItem>
</file>

<file path=customXml/itemProps2.xml><?xml version="1.0" encoding="utf-8"?>
<ds:datastoreItem xmlns:ds="http://schemas.openxmlformats.org/officeDocument/2006/customXml" ds:itemID="{72DF72AB-DC94-43A9-B237-CE4FF5D3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e74a-6af1-4107-a4f1-2bcc9bec433c"/>
    <ds:schemaRef ds:uri="653ca7ab-3842-4176-a071-8b17393d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F5226-5264-4B8D-8BD4-C50339F58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688</Words>
  <Characters>3926</Characters>
  <Application>Microsoft Office Word</Application>
  <DocSecurity>4</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Martin</dc:creator>
  <cp:keywords/>
  <dc:description/>
  <cp:lastModifiedBy>Chris Harris</cp:lastModifiedBy>
  <cp:revision>2</cp:revision>
  <dcterms:created xsi:type="dcterms:W3CDTF">2024-11-29T04:11:00Z</dcterms:created>
  <dcterms:modified xsi:type="dcterms:W3CDTF">2024-11-29T04:11:00Z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0x010100398055779520C94F87EBFF255591DBA4</vt:lpwstr>
  </property>
  <property fmtid="{D5CDD505-2E9C-101B-9397-08002B2CF9AE}" pid="3" name="MediaServiceImageTags">
    <vt:lpwstr/>
  </property>
  <property fmtid="{D5CDD505-2E9C-101B-9397-08002B2CF9AE}" pid="4" name="ClassificationContentMarkingHeaderShapeIds">
    <vt:lpwstr>7b20e76a,10535bfb,349a3fb8</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MSIP_Label_d4aa6e82-05b8-4e95-9982-ec824d4097a5_Enabled">
    <vt:lpwstr>true</vt:lpwstr>
  </property>
  <property fmtid="{D5CDD505-2E9C-101B-9397-08002B2CF9AE}" pid="8" name="MSIP_Label_d4aa6e82-05b8-4e95-9982-ec824d4097a5_SetDate">
    <vt:lpwstr>2024-11-29T03:17:06Z</vt:lpwstr>
  </property>
  <property fmtid="{D5CDD505-2E9C-101B-9397-08002B2CF9AE}" pid="9" name="MSIP_Label_d4aa6e82-05b8-4e95-9982-ec824d4097a5_Method">
    <vt:lpwstr>Privileged</vt:lpwstr>
  </property>
  <property fmtid="{D5CDD505-2E9C-101B-9397-08002B2CF9AE}" pid="10" name="MSIP_Label_d4aa6e82-05b8-4e95-9982-ec824d4097a5_Name">
    <vt:lpwstr>OFFICIAL</vt:lpwstr>
  </property>
  <property fmtid="{D5CDD505-2E9C-101B-9397-08002B2CF9AE}" pid="11" name="MSIP_Label_d4aa6e82-05b8-4e95-9982-ec824d4097a5_SiteId">
    <vt:lpwstr>942fa897-dc9a-4b67-b4c5-06cb853aed1d</vt:lpwstr>
  </property>
  <property fmtid="{D5CDD505-2E9C-101B-9397-08002B2CF9AE}" pid="12" name="MSIP_Label_d4aa6e82-05b8-4e95-9982-ec824d4097a5_ActionId">
    <vt:lpwstr>36b912f9-a678-4bea-9665-c59309318f08</vt:lpwstr>
  </property>
  <property fmtid="{D5CDD505-2E9C-101B-9397-08002B2CF9AE}" pid="13" name="MSIP_Label_d4aa6e82-05b8-4e95-9982-ec824d4097a5_ContentBits">
    <vt:lpwstr>1</vt:lpwstr>
  </property>
</Properties>
</file>